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39" w:rsidRPr="008F61EB" w:rsidRDefault="00836139" w:rsidP="00836139">
      <w:pPr>
        <w:pStyle w:val="1"/>
        <w:shd w:val="clear" w:color="auto" w:fill="auto"/>
        <w:spacing w:after="40"/>
        <w:rPr>
          <w:rFonts w:ascii="Times New Roman CYR" w:hAnsi="Times New Roman CYR" w:cs="Times New Roman CYR"/>
          <w:b/>
          <w:color w:val="auto"/>
          <w:sz w:val="32"/>
          <w:szCs w:val="32"/>
          <w:lang w:bidi="ar-SA"/>
        </w:rPr>
      </w:pPr>
      <w:r w:rsidRPr="008F61EB">
        <w:rPr>
          <w:rFonts w:ascii="Times New Roman CYR" w:hAnsi="Times New Roman CYR" w:cs="Times New Roman CYR"/>
          <w:b/>
          <w:color w:val="auto"/>
          <w:sz w:val="32"/>
          <w:szCs w:val="32"/>
          <w:lang w:bidi="ar-SA"/>
        </w:rPr>
        <w:t xml:space="preserve">Сведения </w:t>
      </w:r>
    </w:p>
    <w:p w:rsidR="00761822" w:rsidRPr="008F61EB" w:rsidRDefault="00836139" w:rsidP="00836139">
      <w:pPr>
        <w:pStyle w:val="1"/>
        <w:shd w:val="clear" w:color="auto" w:fill="auto"/>
        <w:spacing w:after="40"/>
        <w:rPr>
          <w:rFonts w:ascii="Times New Roman CYR" w:hAnsi="Times New Roman CYR" w:cs="Times New Roman CYR"/>
          <w:b/>
          <w:color w:val="auto"/>
          <w:sz w:val="32"/>
          <w:szCs w:val="32"/>
          <w:lang w:bidi="ar-SA"/>
        </w:rPr>
      </w:pPr>
      <w:r w:rsidRPr="008F61EB">
        <w:rPr>
          <w:rFonts w:ascii="Times New Roman CYR" w:hAnsi="Times New Roman CYR" w:cs="Times New Roman CYR"/>
          <w:b/>
          <w:color w:val="auto"/>
          <w:sz w:val="32"/>
          <w:szCs w:val="32"/>
          <w:lang w:bidi="ar-SA"/>
        </w:rPr>
        <w:t xml:space="preserve">о поступлении и расходовании средств избирательных фондов </w:t>
      </w:r>
      <w:r w:rsidR="007E19FD">
        <w:rPr>
          <w:rFonts w:ascii="Times New Roman CYR" w:hAnsi="Times New Roman CYR" w:cs="Times New Roman CYR"/>
          <w:b/>
          <w:color w:val="auto"/>
          <w:sz w:val="32"/>
          <w:szCs w:val="32"/>
          <w:lang w:bidi="ar-SA"/>
        </w:rPr>
        <w:t>избирательных объединений</w:t>
      </w:r>
    </w:p>
    <w:p w:rsidR="00836139" w:rsidRDefault="00836139" w:rsidP="00836139">
      <w:pPr>
        <w:pStyle w:val="1"/>
        <w:shd w:val="clear" w:color="auto" w:fill="auto"/>
        <w:spacing w:after="40"/>
        <w:rPr>
          <w:rFonts w:ascii="Times New Roman CYR" w:hAnsi="Times New Roman CYR" w:cs="Times New Roman CYR"/>
          <w:color w:val="auto"/>
          <w:lang w:bidi="ar-SA"/>
        </w:rPr>
      </w:pPr>
      <w:r w:rsidRPr="00836139">
        <w:rPr>
          <w:rFonts w:ascii="Times New Roman CYR" w:hAnsi="Times New Roman CYR" w:cs="Times New Roman CYR"/>
          <w:color w:val="auto"/>
          <w:lang w:bidi="ar-SA"/>
        </w:rPr>
        <w:t>(на основании данных, представленных филиалом ПАО «Сбербанк России)</w:t>
      </w:r>
    </w:p>
    <w:p w:rsidR="00553FB7" w:rsidRPr="00A25DD4" w:rsidRDefault="00553FB7" w:rsidP="00836139">
      <w:pPr>
        <w:pStyle w:val="1"/>
        <w:shd w:val="clear" w:color="auto" w:fill="auto"/>
        <w:spacing w:after="40"/>
        <w:rPr>
          <w:rFonts w:ascii="Times New Roman CYR" w:hAnsi="Times New Roman CYR" w:cs="Times New Roman CYR"/>
          <w:color w:val="auto"/>
          <w:sz w:val="12"/>
          <w:lang w:bidi="ar-SA"/>
        </w:rPr>
      </w:pPr>
    </w:p>
    <w:p w:rsidR="00553FB7" w:rsidRDefault="00553FB7" w:rsidP="00836139">
      <w:pPr>
        <w:pStyle w:val="1"/>
        <w:shd w:val="clear" w:color="auto" w:fill="auto"/>
        <w:spacing w:after="40"/>
        <w:rPr>
          <w:rFonts w:ascii="Times New Roman CYR" w:hAnsi="Times New Roman CYR" w:cs="Times New Roman CYR"/>
          <w:b/>
          <w:color w:val="auto"/>
          <w:u w:val="single"/>
          <w:lang w:bidi="ar-SA"/>
        </w:rPr>
      </w:pPr>
      <w:r w:rsidRPr="00553FB7">
        <w:rPr>
          <w:rFonts w:ascii="Times New Roman CYR" w:hAnsi="Times New Roman CYR" w:cs="Times New Roman CYR"/>
          <w:b/>
          <w:color w:val="auto"/>
          <w:u w:val="single"/>
          <w:lang w:bidi="ar-SA"/>
        </w:rPr>
        <w:t xml:space="preserve">ВЫБОРЫ </w:t>
      </w:r>
      <w:r w:rsidR="008F61EB">
        <w:rPr>
          <w:rFonts w:ascii="Times New Roman CYR" w:hAnsi="Times New Roman CYR" w:cs="Times New Roman CYR"/>
          <w:b/>
          <w:color w:val="auto"/>
          <w:u w:val="single"/>
          <w:lang w:bidi="ar-SA"/>
        </w:rPr>
        <w:t>ДЕПУТАТОВ СОВЕТА ДЕПУТАТОВ ГОРОДСКОГО ОКРУГА АНАДЫРЬ СЕДЬМОГО СОЗЫВА</w:t>
      </w:r>
      <w:r w:rsidRPr="00553FB7">
        <w:rPr>
          <w:rFonts w:ascii="Times New Roman CYR" w:hAnsi="Times New Roman CYR" w:cs="Times New Roman CYR"/>
          <w:b/>
          <w:color w:val="auto"/>
          <w:u w:val="single"/>
          <w:lang w:bidi="ar-SA"/>
        </w:rPr>
        <w:t xml:space="preserve"> </w:t>
      </w:r>
    </w:p>
    <w:p w:rsidR="00A25DD4" w:rsidRPr="00A25DD4" w:rsidRDefault="00553FB7" w:rsidP="00A25DD4">
      <w:pPr>
        <w:pStyle w:val="1"/>
        <w:shd w:val="clear" w:color="auto" w:fill="auto"/>
        <w:spacing w:after="40"/>
        <w:jc w:val="left"/>
        <w:rPr>
          <w:rFonts w:ascii="Times New Roman CYR" w:hAnsi="Times New Roman CYR" w:cs="Times New Roman CYR"/>
          <w:color w:val="auto"/>
          <w:sz w:val="12"/>
          <w:lang w:bidi="ar-SA"/>
        </w:rPr>
      </w:pP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>
        <w:rPr>
          <w:rFonts w:ascii="Times New Roman CYR" w:hAnsi="Times New Roman CYR" w:cs="Times New Roman CYR"/>
          <w:color w:val="auto"/>
          <w:lang w:bidi="ar-SA"/>
        </w:rPr>
        <w:tab/>
      </w:r>
      <w:r w:rsidR="00A25DD4">
        <w:rPr>
          <w:rFonts w:ascii="Times New Roman CYR" w:hAnsi="Times New Roman CYR" w:cs="Times New Roman CYR"/>
          <w:color w:val="auto"/>
          <w:lang w:bidi="ar-SA"/>
        </w:rPr>
        <w:tab/>
      </w:r>
      <w:r w:rsidR="00A25DD4">
        <w:rPr>
          <w:rFonts w:ascii="Times New Roman CYR" w:hAnsi="Times New Roman CYR" w:cs="Times New Roman CYR"/>
          <w:color w:val="auto"/>
          <w:lang w:bidi="ar-SA"/>
        </w:rPr>
        <w:tab/>
      </w:r>
      <w:r w:rsidR="00A25DD4">
        <w:rPr>
          <w:rFonts w:ascii="Times New Roman CYR" w:hAnsi="Times New Roman CYR" w:cs="Times New Roman CYR"/>
          <w:color w:val="auto"/>
          <w:lang w:bidi="ar-SA"/>
        </w:rPr>
        <w:tab/>
      </w:r>
      <w:r w:rsidR="00A25DD4">
        <w:rPr>
          <w:rFonts w:ascii="Times New Roman CYR" w:hAnsi="Times New Roman CYR" w:cs="Times New Roman CYR"/>
          <w:color w:val="auto"/>
          <w:lang w:bidi="ar-SA"/>
        </w:rPr>
        <w:tab/>
      </w:r>
    </w:p>
    <w:p w:rsidR="00553FB7" w:rsidRDefault="00A25DD4" w:rsidP="000B1DC9">
      <w:pPr>
        <w:pStyle w:val="1"/>
        <w:shd w:val="clear" w:color="auto" w:fill="auto"/>
        <w:spacing w:after="40"/>
        <w:ind w:left="11482" w:right="-384"/>
        <w:jc w:val="left"/>
        <w:rPr>
          <w:rFonts w:ascii="Times New Roman CYR" w:hAnsi="Times New Roman CYR" w:cs="Times New Roman CYR"/>
          <w:color w:val="auto"/>
          <w:u w:val="single"/>
          <w:lang w:bidi="ar-SA"/>
        </w:rPr>
      </w:pPr>
      <w:r>
        <w:rPr>
          <w:rFonts w:ascii="Times New Roman CYR" w:hAnsi="Times New Roman CYR" w:cs="Times New Roman CYR"/>
          <w:color w:val="auto"/>
          <w:lang w:bidi="ar-SA"/>
        </w:rPr>
        <w:t>по</w:t>
      </w:r>
      <w:r w:rsidR="00553FB7" w:rsidRPr="00553FB7">
        <w:rPr>
          <w:rFonts w:ascii="Times New Roman CYR" w:hAnsi="Times New Roman CYR" w:cs="Times New Roman CYR"/>
          <w:color w:val="auto"/>
          <w:u w:val="single"/>
          <w:lang w:bidi="ar-SA"/>
        </w:rPr>
        <w:t xml:space="preserve"> состоянию на </w:t>
      </w:r>
      <w:r w:rsidR="00DF470B">
        <w:rPr>
          <w:rFonts w:ascii="Times New Roman CYR" w:hAnsi="Times New Roman CYR" w:cs="Times New Roman CYR"/>
          <w:color w:val="auto"/>
          <w:u w:val="single"/>
          <w:lang w:bidi="ar-SA"/>
        </w:rPr>
        <w:t>2</w:t>
      </w:r>
      <w:r w:rsidR="005869CC">
        <w:rPr>
          <w:rFonts w:ascii="Times New Roman CYR" w:hAnsi="Times New Roman CYR" w:cs="Times New Roman CYR"/>
          <w:color w:val="auto"/>
          <w:u w:val="single"/>
          <w:lang w:bidi="ar-SA"/>
        </w:rPr>
        <w:t>8</w:t>
      </w:r>
      <w:bookmarkStart w:id="0" w:name="_GoBack"/>
      <w:bookmarkEnd w:id="0"/>
      <w:r w:rsidR="00553FB7" w:rsidRPr="00553FB7">
        <w:rPr>
          <w:rFonts w:ascii="Times New Roman CYR" w:hAnsi="Times New Roman CYR" w:cs="Times New Roman CYR"/>
          <w:color w:val="auto"/>
          <w:u w:val="single"/>
          <w:lang w:bidi="ar-SA"/>
        </w:rPr>
        <w:t xml:space="preserve"> </w:t>
      </w:r>
      <w:r w:rsidR="005713C0">
        <w:rPr>
          <w:rFonts w:ascii="Times New Roman CYR" w:hAnsi="Times New Roman CYR" w:cs="Times New Roman CYR"/>
          <w:color w:val="auto"/>
          <w:u w:val="single"/>
          <w:lang w:bidi="ar-SA"/>
        </w:rPr>
        <w:t>августа</w:t>
      </w:r>
      <w:r w:rsidR="00553FB7" w:rsidRPr="00553FB7">
        <w:rPr>
          <w:rFonts w:ascii="Times New Roman CYR" w:hAnsi="Times New Roman CYR" w:cs="Times New Roman CYR"/>
          <w:color w:val="auto"/>
          <w:u w:val="single"/>
          <w:lang w:bidi="ar-SA"/>
        </w:rPr>
        <w:t xml:space="preserve"> 2024 года</w:t>
      </w:r>
    </w:p>
    <w:p w:rsidR="00553FB7" w:rsidRPr="00A25DD4" w:rsidRDefault="00553FB7" w:rsidP="00553FB7">
      <w:pPr>
        <w:pStyle w:val="1"/>
        <w:shd w:val="clear" w:color="auto" w:fill="auto"/>
        <w:spacing w:after="40"/>
        <w:ind w:left="11340"/>
        <w:jc w:val="left"/>
        <w:rPr>
          <w:rFonts w:ascii="Times New Roman CYR" w:hAnsi="Times New Roman CYR" w:cs="Times New Roman CYR"/>
          <w:color w:val="auto"/>
          <w:sz w:val="12"/>
          <w:u w:val="single"/>
          <w:lang w:bidi="ar-SA"/>
        </w:rPr>
      </w:pPr>
    </w:p>
    <w:tbl>
      <w:tblPr>
        <w:tblStyle w:val="a6"/>
        <w:tblW w:w="15748" w:type="dxa"/>
        <w:jc w:val="center"/>
        <w:tblLook w:val="04A0" w:firstRow="1" w:lastRow="0" w:firstColumn="1" w:lastColumn="0" w:noHBand="0" w:noVBand="1"/>
      </w:tblPr>
      <w:tblGrid>
        <w:gridCol w:w="509"/>
        <w:gridCol w:w="2206"/>
        <w:gridCol w:w="1347"/>
        <w:gridCol w:w="1116"/>
        <w:gridCol w:w="1660"/>
        <w:gridCol w:w="747"/>
        <w:gridCol w:w="1217"/>
        <w:gridCol w:w="1174"/>
        <w:gridCol w:w="1216"/>
        <w:gridCol w:w="1116"/>
        <w:gridCol w:w="1459"/>
        <w:gridCol w:w="835"/>
        <w:gridCol w:w="1146"/>
      </w:tblGrid>
      <w:tr w:rsidR="00F721A6" w:rsidRPr="00F721A6" w:rsidTr="00F87462">
        <w:trPr>
          <w:trHeight w:val="313"/>
          <w:jc w:val="center"/>
        </w:trPr>
        <w:tc>
          <w:tcPr>
            <w:tcW w:w="513" w:type="dxa"/>
            <w:vMerge w:val="restart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2250" w:type="dxa"/>
            <w:vMerge w:val="restart"/>
            <w:vAlign w:val="center"/>
          </w:tcPr>
          <w:p w:rsidR="00553FB7" w:rsidRPr="00F721A6" w:rsidRDefault="00391800" w:rsidP="00391800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Наименование избирательного объединения</w:t>
            </w:r>
          </w:p>
        </w:tc>
        <w:tc>
          <w:tcPr>
            <w:tcW w:w="6034" w:type="dxa"/>
            <w:gridSpan w:val="5"/>
            <w:vAlign w:val="center"/>
          </w:tcPr>
          <w:p w:rsidR="00553FB7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Поступило средств</w:t>
            </w:r>
          </w:p>
        </w:tc>
        <w:tc>
          <w:tcPr>
            <w:tcW w:w="4956" w:type="dxa"/>
            <w:gridSpan w:val="4"/>
            <w:vAlign w:val="center"/>
          </w:tcPr>
          <w:p w:rsidR="00553FB7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Израсходовано средств</w:t>
            </w:r>
          </w:p>
        </w:tc>
        <w:tc>
          <w:tcPr>
            <w:tcW w:w="1995" w:type="dxa"/>
            <w:gridSpan w:val="2"/>
            <w:vAlign w:val="center"/>
          </w:tcPr>
          <w:p w:rsidR="00553FB7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Возвращено средств</w:t>
            </w:r>
          </w:p>
        </w:tc>
      </w:tr>
      <w:tr w:rsidR="00F721A6" w:rsidRPr="00F721A6" w:rsidTr="00F87462">
        <w:trPr>
          <w:trHeight w:val="135"/>
          <w:jc w:val="center"/>
        </w:trPr>
        <w:tc>
          <w:tcPr>
            <w:tcW w:w="513" w:type="dxa"/>
            <w:vMerge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vMerge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0A1753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4674" w:type="dxa"/>
            <w:gridSpan w:val="4"/>
            <w:vAlign w:val="center"/>
          </w:tcPr>
          <w:p w:rsidR="000A1753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из них</w:t>
            </w:r>
          </w:p>
        </w:tc>
        <w:tc>
          <w:tcPr>
            <w:tcW w:w="1184" w:type="dxa"/>
            <w:vMerge w:val="restart"/>
            <w:vAlign w:val="center"/>
          </w:tcPr>
          <w:p w:rsidR="000A1753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3772" w:type="dxa"/>
            <w:gridSpan w:val="3"/>
            <w:vAlign w:val="center"/>
          </w:tcPr>
          <w:p w:rsidR="000A1753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из них</w:t>
            </w:r>
          </w:p>
        </w:tc>
        <w:tc>
          <w:tcPr>
            <w:tcW w:w="849" w:type="dxa"/>
            <w:vMerge w:val="restart"/>
            <w:vAlign w:val="center"/>
          </w:tcPr>
          <w:p w:rsidR="000A1753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146" w:type="dxa"/>
            <w:vMerge w:val="restart"/>
            <w:vAlign w:val="center"/>
          </w:tcPr>
          <w:p w:rsidR="000A1753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Основания возврата</w:t>
            </w:r>
          </w:p>
        </w:tc>
      </w:tr>
      <w:tr w:rsidR="00F721A6" w:rsidRPr="00F721A6" w:rsidTr="00F87462">
        <w:trPr>
          <w:trHeight w:val="135"/>
          <w:jc w:val="center"/>
        </w:trPr>
        <w:tc>
          <w:tcPr>
            <w:tcW w:w="513" w:type="dxa"/>
            <w:vMerge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vMerge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0" w:type="dxa"/>
            <w:vMerge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10" w:type="dxa"/>
            <w:gridSpan w:val="2"/>
            <w:vAlign w:val="center"/>
          </w:tcPr>
          <w:p w:rsidR="000A1753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От юридических лиц, внесших пожертвования в сумме, превышающей 25 тысяч рублей</w:t>
            </w:r>
          </w:p>
        </w:tc>
        <w:tc>
          <w:tcPr>
            <w:tcW w:w="1964" w:type="dxa"/>
            <w:gridSpan w:val="2"/>
            <w:vAlign w:val="center"/>
          </w:tcPr>
          <w:p w:rsidR="000A1753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От граждан, внесших пожертвования на сумму более чем 20 тысяч рублей</w:t>
            </w:r>
          </w:p>
        </w:tc>
        <w:tc>
          <w:tcPr>
            <w:tcW w:w="1184" w:type="dxa"/>
            <w:vMerge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0A1753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Финансовые операции по расходованию средств на сумму более 50 тысяч рублей</w:t>
            </w:r>
          </w:p>
        </w:tc>
        <w:tc>
          <w:tcPr>
            <w:tcW w:w="849" w:type="dxa"/>
            <w:vMerge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46" w:type="dxa"/>
            <w:vMerge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</w:tr>
      <w:tr w:rsidR="00F721A6" w:rsidRPr="00F721A6" w:rsidTr="00F87462">
        <w:trPr>
          <w:trHeight w:val="135"/>
          <w:jc w:val="center"/>
        </w:trPr>
        <w:tc>
          <w:tcPr>
            <w:tcW w:w="513" w:type="dxa"/>
            <w:vMerge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vMerge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0" w:type="dxa"/>
            <w:vMerge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33" w:type="dxa"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677" w:type="dxa"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Наименование юридического лица</w:t>
            </w:r>
          </w:p>
        </w:tc>
        <w:tc>
          <w:tcPr>
            <w:tcW w:w="747" w:type="dxa"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217" w:type="dxa"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Количество граждан</w:t>
            </w:r>
          </w:p>
        </w:tc>
        <w:tc>
          <w:tcPr>
            <w:tcW w:w="1184" w:type="dxa"/>
            <w:vMerge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vAlign w:val="center"/>
          </w:tcPr>
          <w:p w:rsidR="000A1753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Дата снятия со счета</w:t>
            </w:r>
          </w:p>
        </w:tc>
        <w:tc>
          <w:tcPr>
            <w:tcW w:w="1116" w:type="dxa"/>
            <w:vAlign w:val="center"/>
          </w:tcPr>
          <w:p w:rsidR="000A1753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459" w:type="dxa"/>
            <w:vAlign w:val="center"/>
          </w:tcPr>
          <w:p w:rsidR="000A1753" w:rsidRPr="00F721A6" w:rsidRDefault="000A1753" w:rsidP="000A1753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Назначение платежа</w:t>
            </w:r>
          </w:p>
        </w:tc>
        <w:tc>
          <w:tcPr>
            <w:tcW w:w="849" w:type="dxa"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46" w:type="dxa"/>
            <w:vAlign w:val="center"/>
          </w:tcPr>
          <w:p w:rsidR="000A1753" w:rsidRPr="00F721A6" w:rsidRDefault="000A1753" w:rsidP="00553FB7">
            <w:pPr>
              <w:pStyle w:val="1"/>
              <w:shd w:val="clear" w:color="auto" w:fill="auto"/>
              <w:spacing w:after="4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</w:pPr>
          </w:p>
        </w:tc>
      </w:tr>
      <w:tr w:rsidR="00F721A6" w:rsidRPr="00F721A6" w:rsidTr="00F87462">
        <w:trPr>
          <w:jc w:val="center"/>
        </w:trPr>
        <w:tc>
          <w:tcPr>
            <w:tcW w:w="513" w:type="dxa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250" w:type="dxa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360" w:type="dxa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033" w:type="dxa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677" w:type="dxa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747" w:type="dxa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17" w:type="dxa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184" w:type="dxa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197" w:type="dxa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116" w:type="dxa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459" w:type="dxa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849" w:type="dxa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146" w:type="dxa"/>
            <w:vAlign w:val="center"/>
          </w:tcPr>
          <w:p w:rsidR="00553FB7" w:rsidRPr="00F721A6" w:rsidRDefault="00553FB7" w:rsidP="00553FB7">
            <w:pPr>
              <w:pStyle w:val="1"/>
              <w:shd w:val="clear" w:color="auto" w:fill="auto"/>
              <w:spacing w:after="40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lang w:bidi="ar-SA"/>
              </w:rPr>
              <w:t>13</w:t>
            </w:r>
          </w:p>
        </w:tc>
      </w:tr>
      <w:tr w:rsidR="00F721A6" w:rsidRPr="00F721A6" w:rsidTr="00F87462">
        <w:trPr>
          <w:jc w:val="center"/>
        </w:trPr>
        <w:tc>
          <w:tcPr>
            <w:tcW w:w="513" w:type="dxa"/>
            <w:vAlign w:val="center"/>
          </w:tcPr>
          <w:p w:rsidR="008D00B4" w:rsidRPr="00F721A6" w:rsidRDefault="008D00B4" w:rsidP="008D00B4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40"/>
              <w:rPr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vAlign w:val="center"/>
          </w:tcPr>
          <w:p w:rsidR="008D00B4" w:rsidRPr="00F721A6" w:rsidRDefault="00391800" w:rsidP="0039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A6">
              <w:rPr>
                <w:rFonts w:ascii="Times New Roman" w:hAnsi="Times New Roman" w:cs="Times New Roman"/>
                <w:sz w:val="20"/>
                <w:szCs w:val="20"/>
              </w:rPr>
              <w:t>Анадырское городское местное отделение Партии «ЕДИНАЯ РОССИЯ»</w:t>
            </w:r>
          </w:p>
        </w:tc>
        <w:tc>
          <w:tcPr>
            <w:tcW w:w="1360" w:type="dxa"/>
            <w:vAlign w:val="center"/>
          </w:tcPr>
          <w:p w:rsidR="008D00B4" w:rsidRPr="005869CC" w:rsidRDefault="005869CC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127 794,00</w:t>
            </w:r>
          </w:p>
        </w:tc>
        <w:tc>
          <w:tcPr>
            <w:tcW w:w="1033" w:type="dxa"/>
            <w:vAlign w:val="center"/>
          </w:tcPr>
          <w:p w:rsidR="008D00B4" w:rsidRPr="00F721A6" w:rsidRDefault="005869CC" w:rsidP="00F721A6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127 794,00</w:t>
            </w:r>
          </w:p>
        </w:tc>
        <w:tc>
          <w:tcPr>
            <w:tcW w:w="1677" w:type="dxa"/>
            <w:vAlign w:val="center"/>
          </w:tcPr>
          <w:p w:rsidR="008D00B4" w:rsidRPr="00F721A6" w:rsidRDefault="00F721A6" w:rsidP="00F721A6">
            <w:pPr>
              <w:pStyle w:val="1"/>
              <w:shd w:val="clear" w:color="auto" w:fill="auto"/>
              <w:spacing w:after="40"/>
              <w:rPr>
                <w:color w:val="auto"/>
                <w:sz w:val="20"/>
                <w:szCs w:val="20"/>
                <w:lang w:bidi="ar-SA"/>
              </w:rPr>
            </w:pPr>
            <w:r w:rsidRPr="00F721A6">
              <w:rPr>
                <w:rFonts w:ascii="Times New Roman CYR" w:hAnsi="Times New Roman CYR" w:cs="Times New Roman CYR"/>
                <w:color w:val="auto"/>
                <w:sz w:val="20"/>
                <w:szCs w:val="20"/>
                <w:lang w:bidi="ar-SA"/>
              </w:rPr>
              <w:t>Чукотский фонд поддержки регионального сотрудничества и развития</w:t>
            </w:r>
          </w:p>
        </w:tc>
        <w:tc>
          <w:tcPr>
            <w:tcW w:w="747" w:type="dxa"/>
            <w:vAlign w:val="center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17" w:type="dxa"/>
            <w:vAlign w:val="center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4" w:type="dxa"/>
            <w:vAlign w:val="center"/>
          </w:tcPr>
          <w:p w:rsidR="008D00B4" w:rsidRPr="00F721A6" w:rsidRDefault="005869CC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127 794,00</w:t>
            </w:r>
          </w:p>
        </w:tc>
        <w:tc>
          <w:tcPr>
            <w:tcW w:w="1197" w:type="dxa"/>
            <w:vAlign w:val="center"/>
          </w:tcPr>
          <w:p w:rsidR="008D00B4" w:rsidRPr="00F721A6" w:rsidRDefault="00F721A6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 w:rsidRPr="00F721A6">
              <w:rPr>
                <w:color w:val="auto"/>
                <w:sz w:val="20"/>
                <w:szCs w:val="20"/>
                <w:lang w:bidi="ar-SA"/>
              </w:rPr>
              <w:t>20.08.2024</w:t>
            </w:r>
          </w:p>
        </w:tc>
        <w:tc>
          <w:tcPr>
            <w:tcW w:w="1116" w:type="dxa"/>
            <w:vAlign w:val="center"/>
          </w:tcPr>
          <w:p w:rsidR="008D00B4" w:rsidRPr="00F721A6" w:rsidRDefault="00F721A6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 w:rsidRPr="00F721A6">
              <w:rPr>
                <w:color w:val="auto"/>
                <w:sz w:val="20"/>
                <w:szCs w:val="20"/>
                <w:lang w:bidi="ar-SA"/>
              </w:rPr>
              <w:t>79794,00</w:t>
            </w:r>
          </w:p>
        </w:tc>
        <w:tc>
          <w:tcPr>
            <w:tcW w:w="1459" w:type="dxa"/>
            <w:vAlign w:val="center"/>
          </w:tcPr>
          <w:p w:rsidR="008D00B4" w:rsidRPr="00F721A6" w:rsidRDefault="00F721A6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 w:rsidRPr="00F721A6">
              <w:rPr>
                <w:color w:val="auto"/>
                <w:sz w:val="20"/>
                <w:szCs w:val="20"/>
                <w:lang w:bidi="ar-SA"/>
              </w:rPr>
              <w:t>Оплата договора 015ПП/24 от 20.80.2024, счет № 869 от 20.08.2024г. (Публикация в газете № 33 от 23.08.24) в том числе НДС 20% - 13299,00 рублей</w:t>
            </w:r>
          </w:p>
        </w:tc>
        <w:tc>
          <w:tcPr>
            <w:tcW w:w="849" w:type="dxa"/>
            <w:vAlign w:val="center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46" w:type="dxa"/>
            <w:vAlign w:val="center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F721A6" w:rsidRPr="00F721A6" w:rsidTr="00F87462">
        <w:tblPrEx>
          <w:jc w:val="left"/>
        </w:tblPrEx>
        <w:tc>
          <w:tcPr>
            <w:tcW w:w="513" w:type="dxa"/>
            <w:vAlign w:val="center"/>
          </w:tcPr>
          <w:p w:rsidR="008D00B4" w:rsidRPr="00F721A6" w:rsidRDefault="008D00B4" w:rsidP="008D00B4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40"/>
              <w:rPr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vAlign w:val="center"/>
          </w:tcPr>
          <w:p w:rsidR="008D00B4" w:rsidRPr="00F721A6" w:rsidRDefault="00391800" w:rsidP="00A25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A6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Социалистической партии «СПРАВЕДЛИВАЯ РОССИЯ-ПАТРИОТЫ-ЗА ПРАВДУ»</w:t>
            </w:r>
          </w:p>
        </w:tc>
        <w:tc>
          <w:tcPr>
            <w:tcW w:w="1360" w:type="dxa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 w:rsidRPr="00F721A6">
              <w:rPr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033" w:type="dxa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7" w:type="dxa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17" w:type="dxa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4" w:type="dxa"/>
            <w:vAlign w:val="center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 w:rsidRPr="00F721A6">
              <w:rPr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1197" w:type="dxa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6" w:type="dxa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59" w:type="dxa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49" w:type="dxa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46" w:type="dxa"/>
          </w:tcPr>
          <w:p w:rsidR="008D00B4" w:rsidRPr="00F721A6" w:rsidRDefault="008D00B4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F87462" w:rsidRPr="00F721A6" w:rsidTr="00F87462">
        <w:tblPrEx>
          <w:jc w:val="left"/>
        </w:tblPrEx>
        <w:trPr>
          <w:trHeight w:val="1418"/>
        </w:trPr>
        <w:tc>
          <w:tcPr>
            <w:tcW w:w="513" w:type="dxa"/>
            <w:vMerge w:val="restart"/>
            <w:vAlign w:val="center"/>
          </w:tcPr>
          <w:p w:rsidR="00F87462" w:rsidRPr="00F721A6" w:rsidRDefault="00F87462" w:rsidP="008D00B4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40"/>
              <w:rPr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F87462" w:rsidRPr="00F721A6" w:rsidRDefault="00F87462" w:rsidP="0039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A6">
              <w:rPr>
                <w:rFonts w:ascii="Times New Roman" w:hAnsi="Times New Roman" w:cs="Times New Roman"/>
                <w:sz w:val="20"/>
                <w:szCs w:val="20"/>
              </w:rPr>
              <w:t>Чукотское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360" w:type="dxa"/>
            <w:vMerge w:val="restart"/>
          </w:tcPr>
          <w:p w:rsidR="00F87462" w:rsidRPr="00F721A6" w:rsidRDefault="00F87462" w:rsidP="003B2886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 w:rsidRPr="00F721A6">
              <w:rPr>
                <w:color w:val="auto"/>
                <w:sz w:val="20"/>
                <w:szCs w:val="20"/>
                <w:lang w:bidi="ar-SA"/>
              </w:rPr>
              <w:t>1 </w:t>
            </w:r>
            <w:r w:rsidRPr="00F721A6">
              <w:rPr>
                <w:color w:val="auto"/>
                <w:sz w:val="20"/>
                <w:szCs w:val="20"/>
                <w:lang w:val="en-US" w:bidi="ar-SA"/>
              </w:rPr>
              <w:t>317</w:t>
            </w:r>
            <w:r w:rsidRPr="00F721A6">
              <w:rPr>
                <w:color w:val="auto"/>
                <w:sz w:val="20"/>
                <w:szCs w:val="20"/>
                <w:lang w:bidi="ar-SA"/>
              </w:rPr>
              <w:t> 000,00</w:t>
            </w:r>
          </w:p>
        </w:tc>
        <w:tc>
          <w:tcPr>
            <w:tcW w:w="1033" w:type="dxa"/>
            <w:vMerge w:val="restart"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vMerge w:val="restart"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7" w:type="dxa"/>
            <w:vMerge w:val="restart"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17" w:type="dxa"/>
            <w:vMerge w:val="restart"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4" w:type="dxa"/>
            <w:vMerge w:val="restart"/>
            <w:vAlign w:val="center"/>
          </w:tcPr>
          <w:p w:rsidR="00F87462" w:rsidRPr="00F721A6" w:rsidRDefault="00F87462" w:rsidP="005427A0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370 264,00</w:t>
            </w:r>
          </w:p>
        </w:tc>
        <w:tc>
          <w:tcPr>
            <w:tcW w:w="1197" w:type="dxa"/>
            <w:vAlign w:val="center"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 w:rsidRPr="00F721A6">
              <w:rPr>
                <w:color w:val="auto"/>
                <w:sz w:val="20"/>
                <w:szCs w:val="20"/>
                <w:lang w:bidi="ar-SA"/>
              </w:rPr>
              <w:t>03.08.2024</w:t>
            </w:r>
          </w:p>
        </w:tc>
        <w:tc>
          <w:tcPr>
            <w:tcW w:w="1116" w:type="dxa"/>
            <w:vAlign w:val="center"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 w:rsidRPr="00F721A6">
              <w:rPr>
                <w:color w:val="auto"/>
                <w:sz w:val="20"/>
                <w:szCs w:val="20"/>
                <w:lang w:bidi="ar-SA"/>
              </w:rPr>
              <w:t>60 000,00</w:t>
            </w:r>
          </w:p>
        </w:tc>
        <w:tc>
          <w:tcPr>
            <w:tcW w:w="1459" w:type="dxa"/>
            <w:vAlign w:val="center"/>
          </w:tcPr>
          <w:p w:rsidR="00F87462" w:rsidRPr="00F721A6" w:rsidRDefault="00F87462" w:rsidP="000B1DC9">
            <w:pPr>
              <w:pStyle w:val="1"/>
              <w:shd w:val="clear" w:color="auto" w:fill="auto"/>
              <w:spacing w:after="40"/>
              <w:rPr>
                <w:color w:val="auto"/>
                <w:sz w:val="20"/>
                <w:szCs w:val="20"/>
                <w:lang w:bidi="ar-SA"/>
              </w:rPr>
            </w:pPr>
            <w:r w:rsidRPr="00F721A6">
              <w:rPr>
                <w:color w:val="auto"/>
                <w:sz w:val="20"/>
                <w:szCs w:val="20"/>
                <w:lang w:bidi="ar-SA"/>
              </w:rPr>
              <w:t>НДС не облагается. Услуги по договору создания макетов печатной предвыборной агитации от 03.08.2024г.</w:t>
            </w:r>
          </w:p>
          <w:p w:rsidR="00F87462" w:rsidRPr="00F721A6" w:rsidRDefault="00F87462" w:rsidP="000B1DC9">
            <w:pPr>
              <w:pStyle w:val="1"/>
              <w:shd w:val="clear" w:color="auto" w:fill="auto"/>
              <w:spacing w:after="40"/>
              <w:rPr>
                <w:color w:val="auto"/>
                <w:sz w:val="20"/>
                <w:szCs w:val="20"/>
                <w:lang w:bidi="ar-SA"/>
              </w:rPr>
            </w:pPr>
            <w:r w:rsidRPr="00F721A6">
              <w:rPr>
                <w:color w:val="auto"/>
                <w:sz w:val="20"/>
                <w:szCs w:val="20"/>
                <w:lang w:bidi="ar-SA"/>
              </w:rPr>
              <w:t>Счет № 15 от 03.08.2024г.</w:t>
            </w:r>
          </w:p>
        </w:tc>
        <w:tc>
          <w:tcPr>
            <w:tcW w:w="849" w:type="dxa"/>
            <w:vMerge w:val="restart"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46" w:type="dxa"/>
            <w:vMerge w:val="restart"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F87462" w:rsidRPr="00F721A6" w:rsidTr="00F87462">
        <w:tblPrEx>
          <w:jc w:val="left"/>
        </w:tblPrEx>
        <w:trPr>
          <w:trHeight w:val="1335"/>
        </w:trPr>
        <w:tc>
          <w:tcPr>
            <w:tcW w:w="513" w:type="dxa"/>
            <w:vMerge/>
            <w:vAlign w:val="center"/>
          </w:tcPr>
          <w:p w:rsidR="00F87462" w:rsidRPr="00F721A6" w:rsidRDefault="00F87462" w:rsidP="008D00B4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40"/>
              <w:rPr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vMerge/>
            <w:vAlign w:val="center"/>
          </w:tcPr>
          <w:p w:rsidR="00F87462" w:rsidRPr="00F721A6" w:rsidRDefault="00F87462" w:rsidP="0039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87462" w:rsidRPr="00F721A6" w:rsidRDefault="00F87462" w:rsidP="003B2886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33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7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17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4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vAlign w:val="center"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20.08.2024</w:t>
            </w:r>
          </w:p>
        </w:tc>
        <w:tc>
          <w:tcPr>
            <w:tcW w:w="1116" w:type="dxa"/>
            <w:vAlign w:val="center"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122 800,00</w:t>
            </w:r>
          </w:p>
        </w:tc>
        <w:tc>
          <w:tcPr>
            <w:tcW w:w="1459" w:type="dxa"/>
            <w:vAlign w:val="center"/>
          </w:tcPr>
          <w:p w:rsidR="00F87462" w:rsidRPr="00F721A6" w:rsidRDefault="00F87462" w:rsidP="000B1DC9">
            <w:pPr>
              <w:pStyle w:val="1"/>
              <w:shd w:val="clear" w:color="auto" w:fill="auto"/>
              <w:spacing w:after="40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В том числе НДС 20% -20466,67 рублей. Оплата услуг трансляции рекламного ролика. Счёт на оплату 179 от 20.08.2024</w:t>
            </w:r>
          </w:p>
        </w:tc>
        <w:tc>
          <w:tcPr>
            <w:tcW w:w="849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46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F87462" w:rsidRPr="00F721A6" w:rsidTr="00F87462">
        <w:tblPrEx>
          <w:jc w:val="left"/>
        </w:tblPrEx>
        <w:trPr>
          <w:trHeight w:val="1335"/>
        </w:trPr>
        <w:tc>
          <w:tcPr>
            <w:tcW w:w="513" w:type="dxa"/>
            <w:vMerge/>
            <w:vAlign w:val="center"/>
          </w:tcPr>
          <w:p w:rsidR="00F87462" w:rsidRPr="00F721A6" w:rsidRDefault="00F87462" w:rsidP="008D00B4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40"/>
              <w:rPr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0" w:type="dxa"/>
            <w:vMerge/>
            <w:vAlign w:val="center"/>
          </w:tcPr>
          <w:p w:rsidR="00F87462" w:rsidRPr="00F721A6" w:rsidRDefault="00F87462" w:rsidP="0039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87462" w:rsidRPr="00F721A6" w:rsidRDefault="00F87462" w:rsidP="003B2886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33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77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7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17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4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97" w:type="dxa"/>
            <w:vAlign w:val="center"/>
          </w:tcPr>
          <w:p w:rsidR="00F87462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223.08.2024</w:t>
            </w:r>
          </w:p>
        </w:tc>
        <w:tc>
          <w:tcPr>
            <w:tcW w:w="1116" w:type="dxa"/>
            <w:vAlign w:val="center"/>
          </w:tcPr>
          <w:p w:rsidR="00F87462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79 794,00</w:t>
            </w:r>
          </w:p>
        </w:tc>
        <w:tc>
          <w:tcPr>
            <w:tcW w:w="1459" w:type="dxa"/>
            <w:vAlign w:val="center"/>
          </w:tcPr>
          <w:p w:rsidR="00F87462" w:rsidRDefault="00F87462" w:rsidP="00F87462">
            <w:pPr>
              <w:pStyle w:val="1"/>
              <w:shd w:val="clear" w:color="auto" w:fill="auto"/>
              <w:spacing w:after="40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color w:val="auto"/>
                <w:sz w:val="20"/>
                <w:szCs w:val="20"/>
                <w:lang w:bidi="ar-SA"/>
              </w:rPr>
              <w:t>В том числе НДС 20% -13299,00 рублей. Оплата услуг по договору № 023ПП/24 от 23.08.2024 Счет на оплату № 890 от 23.08.2024</w:t>
            </w:r>
          </w:p>
        </w:tc>
        <w:tc>
          <w:tcPr>
            <w:tcW w:w="849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46" w:type="dxa"/>
            <w:vMerge/>
          </w:tcPr>
          <w:p w:rsidR="00F87462" w:rsidRPr="00F721A6" w:rsidRDefault="00F87462" w:rsidP="008D00B4">
            <w:pPr>
              <w:pStyle w:val="1"/>
              <w:shd w:val="clear" w:color="auto" w:fill="auto"/>
              <w:spacing w:after="4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</w:tbl>
    <w:p w:rsidR="00761822" w:rsidRPr="00836139" w:rsidRDefault="00761822" w:rsidP="00A2741F">
      <w:pPr>
        <w:pStyle w:val="20"/>
        <w:shd w:val="clear" w:color="auto" w:fill="auto"/>
        <w:ind w:firstLine="0"/>
        <w:rPr>
          <w:color w:val="auto"/>
        </w:rPr>
      </w:pPr>
    </w:p>
    <w:sectPr w:rsidR="00761822" w:rsidRPr="00836139" w:rsidSect="005A30FC">
      <w:pgSz w:w="16840" w:h="11900" w:orient="landscape"/>
      <w:pgMar w:top="426" w:right="1028" w:bottom="142" w:left="1028" w:header="1761" w:footer="7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6A" w:rsidRDefault="00752483">
      <w:r>
        <w:separator/>
      </w:r>
    </w:p>
  </w:endnote>
  <w:endnote w:type="continuationSeparator" w:id="0">
    <w:p w:rsidR="0025416A" w:rsidRDefault="0075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22" w:rsidRDefault="00761822"/>
  </w:footnote>
  <w:footnote w:type="continuationSeparator" w:id="0">
    <w:p w:rsidR="00761822" w:rsidRDefault="007618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F40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22"/>
    <w:rsid w:val="00026BE9"/>
    <w:rsid w:val="000A1753"/>
    <w:rsid w:val="000B1DC9"/>
    <w:rsid w:val="0025416A"/>
    <w:rsid w:val="00264093"/>
    <w:rsid w:val="00391800"/>
    <w:rsid w:val="003B2886"/>
    <w:rsid w:val="005427A0"/>
    <w:rsid w:val="00553FB7"/>
    <w:rsid w:val="005713C0"/>
    <w:rsid w:val="005869CC"/>
    <w:rsid w:val="005A30FC"/>
    <w:rsid w:val="006863E5"/>
    <w:rsid w:val="00752483"/>
    <w:rsid w:val="00761822"/>
    <w:rsid w:val="007E19FD"/>
    <w:rsid w:val="00835163"/>
    <w:rsid w:val="00836139"/>
    <w:rsid w:val="0084177D"/>
    <w:rsid w:val="008D00B4"/>
    <w:rsid w:val="008F61EB"/>
    <w:rsid w:val="009660E7"/>
    <w:rsid w:val="009B091F"/>
    <w:rsid w:val="00A25DD4"/>
    <w:rsid w:val="00A2741F"/>
    <w:rsid w:val="00AB7AB5"/>
    <w:rsid w:val="00B67584"/>
    <w:rsid w:val="00D36C4F"/>
    <w:rsid w:val="00DF470B"/>
    <w:rsid w:val="00E072BE"/>
    <w:rsid w:val="00EB19D3"/>
    <w:rsid w:val="00EB5D68"/>
    <w:rsid w:val="00F721A6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94E4"/>
  <w15:docId w15:val="{9DB44BF5-80EA-4689-92D9-2D0BEABA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color w:val="EBEBEB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ind w:firstLine="180"/>
    </w:pPr>
    <w:rPr>
      <w:rFonts w:ascii="Times New Roman" w:eastAsia="Times New Roman" w:hAnsi="Times New Roman" w:cs="Times New Roman"/>
      <w:color w:val="EBEBEB"/>
      <w:sz w:val="14"/>
      <w:szCs w:val="14"/>
    </w:rPr>
  </w:style>
  <w:style w:type="table" w:styleId="a6">
    <w:name w:val="Table Grid"/>
    <w:basedOn w:val="a1"/>
    <w:uiPriority w:val="39"/>
    <w:rsid w:val="0055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B92B-55BC-4747-8E8A-0C077F07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Евгений В. Серов</cp:lastModifiedBy>
  <cp:revision>19</cp:revision>
  <dcterms:created xsi:type="dcterms:W3CDTF">2024-07-23T21:58:00Z</dcterms:created>
  <dcterms:modified xsi:type="dcterms:W3CDTF">2024-08-28T08:32:00Z</dcterms:modified>
</cp:coreProperties>
</file>