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2C2727">
        <w:rPr>
          <w:rFonts w:ascii="Times New Roman" w:hAnsi="Times New Roman"/>
          <w:sz w:val="28"/>
          <w:szCs w:val="28"/>
        </w:rPr>
        <w:t xml:space="preserve"> 08.02.2018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65FB2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9D445C">
        <w:rPr>
          <w:rFonts w:ascii="Times New Roman" w:hAnsi="Times New Roman"/>
          <w:sz w:val="28"/>
          <w:szCs w:val="28"/>
        </w:rPr>
        <w:t xml:space="preserve"> №</w:t>
      </w:r>
      <w:r w:rsidR="002C2727">
        <w:rPr>
          <w:rFonts w:ascii="Times New Roman" w:hAnsi="Times New Roman"/>
          <w:sz w:val="28"/>
          <w:szCs w:val="28"/>
        </w:rPr>
        <w:t xml:space="preserve"> 30</w:t>
      </w:r>
      <w:r w:rsidRPr="009D445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D44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proofErr w:type="spellEnd"/>
    </w:p>
    <w:p w:rsidR="007845A1" w:rsidRDefault="007845A1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F85294" w:rsidRPr="007845A1" w:rsidTr="009D330D">
        <w:tc>
          <w:tcPr>
            <w:tcW w:w="5353" w:type="dxa"/>
            <w:shd w:val="clear" w:color="auto" w:fill="auto"/>
          </w:tcPr>
          <w:p w:rsidR="007845A1" w:rsidRPr="007845A1" w:rsidRDefault="00F85294" w:rsidP="001F5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F5D6D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1F5D6D">
              <w:rPr>
                <w:rFonts w:ascii="Times New Roman" w:hAnsi="Times New Roman"/>
                <w:sz w:val="28"/>
                <w:szCs w:val="28"/>
              </w:rPr>
              <w:t>а</w:t>
            </w:r>
            <w:r w:rsid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информированию населения о ходе реал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зации в городском округе Анадырь Стр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тегии государственной национальной п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литики Российской Федерации на период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 2025 года и иных правовых актов в сфере межнациональных отношений</w:t>
            </w:r>
            <w:r w:rsid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1" w:rsidRPr="00784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1F5D6D" w:rsidRDefault="001F5D6D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F85294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Во исполнение Распоряжения Правительства Чукотского автономного окр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га от </w:t>
      </w:r>
      <w:r w:rsidR="007470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 сентября 2017 года № 358 «О Плане </w:t>
      </w:r>
      <w:r w:rsidRPr="007845A1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по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информированию нас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ления о ходе реализации в </w:t>
      </w:r>
      <w:r w:rsidR="007303E1">
        <w:rPr>
          <w:rFonts w:ascii="Times New Roman" w:eastAsia="Calibri" w:hAnsi="Times New Roman"/>
          <w:sz w:val="28"/>
          <w:szCs w:val="28"/>
          <w:lang w:eastAsia="en-US"/>
        </w:rPr>
        <w:t xml:space="preserve">Чукотском автономном округе </w:t>
      </w:r>
      <w:r>
        <w:rPr>
          <w:rFonts w:ascii="Times New Roman" w:eastAsia="Calibri" w:hAnsi="Times New Roman"/>
          <w:sz w:val="28"/>
          <w:szCs w:val="28"/>
          <w:lang w:eastAsia="en-US"/>
        </w:rPr>
        <w:t>Стратегии государстве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ной национальной политики Российской Федерации на период до 2025 года и иных правовых актов в сфере межнациональных отношений», </w:t>
      </w:r>
    </w:p>
    <w:p w:rsidR="001F5D6D" w:rsidRPr="00C323A9" w:rsidRDefault="001F5D6D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48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План мероприятий </w:t>
      </w:r>
      <w:r w:rsidR="00F85294" w:rsidRPr="007845A1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>информированию населения о ходе ре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85294">
        <w:rPr>
          <w:rFonts w:ascii="Times New Roman" w:eastAsia="Calibri" w:hAnsi="Times New Roman"/>
          <w:sz w:val="28"/>
          <w:szCs w:val="28"/>
          <w:lang w:eastAsia="en-US"/>
        </w:rPr>
        <w:t>лизации в городском округе Анадырь Стратегии государственной национальной политики Российской Федерации на период до 2025 года и иных правовых актов в сфере межнациональных отношений</w:t>
      </w:r>
      <w:r w:rsidR="0050048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5D6D" w:rsidRDefault="001F5D6D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0489" w:rsidRDefault="00500489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00489">
        <w:rPr>
          <w:rFonts w:ascii="Times New Roman" w:hAnsi="Times New Roman"/>
          <w:sz w:val="28"/>
          <w:szCs w:val="28"/>
        </w:rPr>
        <w:t xml:space="preserve">Настоящее </w:t>
      </w:r>
      <w:r w:rsidR="00947B01">
        <w:rPr>
          <w:rFonts w:ascii="Times New Roman" w:hAnsi="Times New Roman"/>
          <w:sz w:val="28"/>
          <w:szCs w:val="28"/>
        </w:rPr>
        <w:t>распоряжение</w:t>
      </w:r>
      <w:r w:rsidRPr="00500489">
        <w:rPr>
          <w:rFonts w:ascii="Times New Roman" w:hAnsi="Times New Roman"/>
          <w:sz w:val="28"/>
          <w:szCs w:val="28"/>
        </w:rPr>
        <w:t xml:space="preserve"> разместить на официальном информационно - правовом ресурсе городского округа Анадырь - </w:t>
      </w:r>
      <w:hyperlink r:id="rId10" w:history="1">
        <w:r w:rsidR="001F5D6D" w:rsidRPr="007F22D8">
          <w:rPr>
            <w:rStyle w:val="ad"/>
            <w:rFonts w:ascii="Times New Roman" w:hAnsi="Times New Roman"/>
            <w:sz w:val="28"/>
            <w:szCs w:val="28"/>
          </w:rPr>
          <w:t>WWW.NOVOMARIINSK.RU</w:t>
        </w:r>
      </w:hyperlink>
      <w:r w:rsidRPr="00500489">
        <w:rPr>
          <w:rFonts w:ascii="Times New Roman" w:hAnsi="Times New Roman"/>
          <w:sz w:val="28"/>
          <w:szCs w:val="28"/>
        </w:rPr>
        <w:t>.</w:t>
      </w:r>
    </w:p>
    <w:p w:rsidR="001F5D6D" w:rsidRPr="00500489" w:rsidRDefault="001F5D6D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</w:p>
    <w:p w:rsidR="001F5D6D" w:rsidRDefault="00500489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489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F85294" w:rsidRDefault="00F85294" w:rsidP="00500489">
      <w:pPr>
        <w:widowControl w:val="0"/>
        <w:ind w:right="43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45A1">
        <w:rPr>
          <w:rFonts w:ascii="Times New Roman" w:hAnsi="Times New Roman"/>
          <w:sz w:val="28"/>
          <w:szCs w:val="28"/>
        </w:rPr>
        <w:t xml:space="preserve"> </w:t>
      </w:r>
    </w:p>
    <w:p w:rsidR="00C323A9" w:rsidRPr="00C323A9" w:rsidRDefault="00500489" w:rsidP="00500489">
      <w:pPr>
        <w:ind w:firstLine="851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955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ения  возложить на зам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стителя Г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лочисленных народов </w:t>
      </w:r>
      <w:proofErr w:type="spellStart"/>
      <w:r w:rsidR="008D25A2">
        <w:rPr>
          <w:rFonts w:ascii="Times New Roman" w:eastAsia="Calibri" w:hAnsi="Times New Roman"/>
          <w:sz w:val="28"/>
          <w:szCs w:val="28"/>
          <w:lang w:eastAsia="en-US"/>
        </w:rPr>
        <w:t>Кымыет</w:t>
      </w:r>
      <w:proofErr w:type="spellEnd"/>
      <w:r w:rsidR="008D25A2">
        <w:rPr>
          <w:rFonts w:ascii="Times New Roman" w:eastAsia="Calibri" w:hAnsi="Times New Roman"/>
          <w:sz w:val="28"/>
          <w:szCs w:val="28"/>
          <w:lang w:eastAsia="en-US"/>
        </w:rPr>
        <w:t xml:space="preserve"> Н. Я.</w:t>
      </w:r>
    </w:p>
    <w:p w:rsidR="007422DD" w:rsidRDefault="008F55B6" w:rsidP="0004156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925647" w:rsidRDefault="00925647" w:rsidP="008F55B6">
      <w:pPr>
        <w:jc w:val="both"/>
        <w:rPr>
          <w:rFonts w:ascii="Times New Roman" w:hAnsi="Times New Roman"/>
          <w:sz w:val="28"/>
          <w:szCs w:val="28"/>
        </w:rPr>
      </w:pPr>
    </w:p>
    <w:p w:rsidR="007502F3" w:rsidRDefault="007502F3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</w:t>
      </w:r>
      <w:r w:rsidR="006B1598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>И.</w:t>
      </w:r>
      <w:r w:rsidR="007422DD">
        <w:rPr>
          <w:rFonts w:ascii="Times New Roman" w:hAnsi="Times New Roman"/>
          <w:sz w:val="28"/>
          <w:szCs w:val="28"/>
        </w:rPr>
        <w:t xml:space="preserve"> </w:t>
      </w:r>
      <w:r w:rsidR="000F5CE1">
        <w:rPr>
          <w:rFonts w:ascii="Times New Roman" w:hAnsi="Times New Roman"/>
          <w:sz w:val="28"/>
          <w:szCs w:val="28"/>
        </w:rPr>
        <w:t>В. Давиденко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593989" w:rsidRPr="00644D61" w:rsidRDefault="00593989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684"/>
      </w:tblGrid>
      <w:tr w:rsidR="00593989" w:rsidRPr="001A523A" w:rsidTr="00237102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Н.Я.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Кымыет</w:t>
            </w:r>
            <w:proofErr w:type="spellEnd"/>
          </w:p>
        </w:tc>
      </w:tr>
      <w:tr w:rsidR="00593989" w:rsidRPr="001A523A" w:rsidTr="00237102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593989" w:rsidP="00593989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Гончаров</w:t>
            </w:r>
          </w:p>
        </w:tc>
      </w:tr>
      <w:tr w:rsidR="00593989" w:rsidRPr="001A523A" w:rsidTr="00237102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593989" w:rsidP="00593989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 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Мамулян</w:t>
            </w:r>
            <w:proofErr w:type="spellEnd"/>
          </w:p>
        </w:tc>
      </w:tr>
      <w:tr w:rsidR="00593989" w:rsidRPr="001A523A" w:rsidTr="00237102">
        <w:trPr>
          <w:trHeight w:val="785"/>
        </w:trPr>
        <w:tc>
          <w:tcPr>
            <w:tcW w:w="2268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4" w:type="dxa"/>
            <w:vAlign w:val="bottom"/>
          </w:tcPr>
          <w:p w:rsidR="00593989" w:rsidRPr="001A523A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593989" w:rsidRPr="001A523A" w:rsidTr="00237102">
        <w:trPr>
          <w:trHeight w:val="896"/>
        </w:trPr>
        <w:tc>
          <w:tcPr>
            <w:tcW w:w="9464" w:type="dxa"/>
            <w:gridSpan w:val="3"/>
            <w:vAlign w:val="bottom"/>
          </w:tcPr>
          <w:p w:rsidR="00593989" w:rsidRDefault="00593989" w:rsidP="00215590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93989" w:rsidRPr="001A523A" w:rsidRDefault="00593989" w:rsidP="00593989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23A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дело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Управление по организационным и административно-правовым вопросам - 1, </w:t>
            </w:r>
            <w:r w:rsidR="005979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секретарь Главы городского округа Анадырь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1,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лам коренных малочисленных народов</w:t>
            </w:r>
            <w:r w:rsidRPr="00573E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- 1 – 1/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F92987" w:rsidRDefault="00F92987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F92987" w:rsidRPr="00644D61" w:rsidRDefault="00F92987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7470DE" w:rsidRPr="00644D61" w:rsidRDefault="007470DE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644D61" w:rsidRPr="00644D61" w:rsidRDefault="00644D61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0B27" w:rsidRDefault="00630B27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630B27" w:rsidSect="00237102">
          <w:pgSz w:w="11906" w:h="16838"/>
          <w:pgMar w:top="369" w:right="567" w:bottom="1134" w:left="1134" w:header="709" w:footer="709" w:gutter="0"/>
          <w:cols w:space="708"/>
          <w:titlePg/>
          <w:docGrid w:linePitch="360"/>
        </w:sectPr>
      </w:pPr>
    </w:p>
    <w:p w:rsidR="00DB1EA2" w:rsidRDefault="00971D34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УТВЕРЖДЕНО</w:t>
      </w:r>
    </w:p>
    <w:p w:rsidR="00971D34" w:rsidRDefault="00971D34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1F01" w:rsidRDefault="00971D34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Администрации</w:t>
      </w:r>
    </w:p>
    <w:p w:rsidR="00C41F01" w:rsidRP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_____________ 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</w:t>
      </w:r>
    </w:p>
    <w:p w:rsidR="00656310" w:rsidRDefault="00656310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B119F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6A90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="000710E8" w:rsidRPr="00256A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56A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мероприятий </w:t>
      </w:r>
      <w:r w:rsidR="00B17035" w:rsidRPr="00256A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информированию населения </w:t>
      </w:r>
    </w:p>
    <w:p w:rsidR="003B119F" w:rsidRDefault="00B17035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6A90">
        <w:rPr>
          <w:rFonts w:ascii="Times New Roman" w:eastAsia="Calibri" w:hAnsi="Times New Roman"/>
          <w:b/>
          <w:sz w:val="28"/>
          <w:szCs w:val="28"/>
          <w:lang w:eastAsia="en-US"/>
        </w:rPr>
        <w:t>о ходе реализации в городском округе Анадырь Стратегии государственной</w:t>
      </w:r>
      <w:r w:rsidR="003B11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56A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национальной политики </w:t>
      </w:r>
    </w:p>
    <w:p w:rsidR="00B17035" w:rsidRPr="00256A90" w:rsidRDefault="00B17035" w:rsidP="00B63311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56A90">
        <w:rPr>
          <w:rFonts w:ascii="Times New Roman" w:eastAsia="Calibri" w:hAnsi="Times New Roman"/>
          <w:b/>
          <w:sz w:val="28"/>
          <w:szCs w:val="28"/>
          <w:lang w:eastAsia="en-US"/>
        </w:rPr>
        <w:t>Российской Федерации на период до 2025 года и иных правовых актов в сфере межнациональных отношений.</w:t>
      </w:r>
    </w:p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636"/>
        <w:gridCol w:w="6985"/>
        <w:gridCol w:w="2409"/>
        <w:gridCol w:w="4962"/>
      </w:tblGrid>
      <w:tr w:rsidR="00F4733A" w:rsidTr="00002D66"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85" w:type="dxa"/>
          </w:tcPr>
          <w:p w:rsidR="005F71CB" w:rsidRDefault="005F71CB" w:rsidP="004A3A3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4A3A3A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Сроки </w:t>
            </w:r>
          </w:p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4962" w:type="dxa"/>
          </w:tcPr>
          <w:p w:rsidR="004A3A3A" w:rsidRDefault="005F71CB" w:rsidP="0068494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  <w:r w:rsidR="0068494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8506EF" w:rsidRPr="008506EF" w:rsidRDefault="005F71CB" w:rsidP="004A3A3A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F4733A" w:rsidTr="00002D66">
        <w:tc>
          <w:tcPr>
            <w:tcW w:w="636" w:type="dxa"/>
          </w:tcPr>
          <w:p w:rsidR="005F71CB" w:rsidRDefault="005F71CB" w:rsidP="006D6C0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85" w:type="dxa"/>
          </w:tcPr>
          <w:p w:rsidR="005F71CB" w:rsidRPr="00ED1AFC" w:rsidRDefault="006D6C0F" w:rsidP="0088326D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разделов на официальных сайтах Админ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страции городского округа Анадырь «Реализация гос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дарственной национальной политики Российской Фед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рации в муниципальном образовании».</w:t>
            </w:r>
          </w:p>
        </w:tc>
        <w:tc>
          <w:tcPr>
            <w:tcW w:w="2409" w:type="dxa"/>
          </w:tcPr>
          <w:p w:rsidR="005F71CB" w:rsidRDefault="006D6C0F" w:rsidP="005F71CB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4962" w:type="dxa"/>
          </w:tcPr>
          <w:p w:rsidR="0088326D" w:rsidRDefault="006D6C0F" w:rsidP="00317FD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пресс-секретарь Главы городского округа Анадырь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D6C0F" w:rsidTr="00002D66">
        <w:tc>
          <w:tcPr>
            <w:tcW w:w="636" w:type="dxa"/>
          </w:tcPr>
          <w:p w:rsidR="006D6C0F" w:rsidRDefault="006D6C0F" w:rsidP="006D6C0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85" w:type="dxa"/>
          </w:tcPr>
          <w:p w:rsidR="006D6C0F" w:rsidRPr="00ED1AFC" w:rsidRDefault="006D6C0F" w:rsidP="006D6C0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Размещение в разделе «Реализация государственной национальной политики Российской Федерации в 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ниципальном образовании» информационных матери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лов, освещающих </w:t>
            </w:r>
            <w:r w:rsidRPr="00883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реализацию государственной наци</w:t>
            </w:r>
            <w:r w:rsidRPr="00883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832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нальной политики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городском округе Анадырь:</w:t>
            </w:r>
          </w:p>
        </w:tc>
        <w:tc>
          <w:tcPr>
            <w:tcW w:w="2409" w:type="dxa"/>
          </w:tcPr>
          <w:p w:rsidR="006D6C0F" w:rsidRDefault="006D6C0F" w:rsidP="000B21DB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4962" w:type="dxa"/>
          </w:tcPr>
          <w:p w:rsidR="006D6C0F" w:rsidRDefault="006D6C0F" w:rsidP="000B21DB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 по делам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ренных малочисленных народов, </w:t>
            </w:r>
          </w:p>
          <w:p w:rsidR="006D6C0F" w:rsidRDefault="006D6C0F" w:rsidP="000B21DB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пресс-секретарь Главы городского округа Анадырь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026FA" w:rsidTr="00002D66">
        <w:tc>
          <w:tcPr>
            <w:tcW w:w="636" w:type="dxa"/>
          </w:tcPr>
          <w:p w:rsidR="002026FA" w:rsidRDefault="002026FA" w:rsidP="006D6C0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985" w:type="dxa"/>
          </w:tcPr>
          <w:p w:rsidR="002026FA" w:rsidRDefault="002026FA" w:rsidP="006D6C0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реализации Стратегии государственной национальной политики Российской Федерации на период до 2025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да;</w:t>
            </w:r>
          </w:p>
        </w:tc>
        <w:tc>
          <w:tcPr>
            <w:tcW w:w="2409" w:type="dxa"/>
          </w:tcPr>
          <w:p w:rsidR="002026FA" w:rsidRDefault="002026FA" w:rsidP="00D47D5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4962" w:type="dxa"/>
          </w:tcPr>
          <w:p w:rsidR="002026FA" w:rsidRDefault="002026FA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 по делам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ренных малочисленных народов, </w:t>
            </w:r>
          </w:p>
          <w:p w:rsidR="002026FA" w:rsidRDefault="002026FA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пресс-секретарь Главы городского округа Анадырь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026FA" w:rsidTr="00002D66">
        <w:tc>
          <w:tcPr>
            <w:tcW w:w="636" w:type="dxa"/>
          </w:tcPr>
          <w:p w:rsidR="002026FA" w:rsidRDefault="002026FA" w:rsidP="006D6C0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985" w:type="dxa"/>
          </w:tcPr>
          <w:p w:rsidR="002026FA" w:rsidRDefault="002026FA" w:rsidP="006D6C0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реализации Концепции устойчивого развития коре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малочисленных народов Севера, Сибири и Дальн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Востока Российской Федерации;</w:t>
            </w:r>
          </w:p>
        </w:tc>
        <w:tc>
          <w:tcPr>
            <w:tcW w:w="2409" w:type="dxa"/>
          </w:tcPr>
          <w:p w:rsidR="002026FA" w:rsidRDefault="002026FA" w:rsidP="00D47D5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4962" w:type="dxa"/>
          </w:tcPr>
          <w:p w:rsidR="002026FA" w:rsidRDefault="002026FA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 по делам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ренных малочисленных народов, </w:t>
            </w:r>
          </w:p>
          <w:p w:rsidR="008C6D35" w:rsidRDefault="002026FA" w:rsidP="00E534DA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пресс-секретарь Главы городского округа Анадырь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026FA" w:rsidTr="00002D66">
        <w:tc>
          <w:tcPr>
            <w:tcW w:w="636" w:type="dxa"/>
          </w:tcPr>
          <w:p w:rsidR="002026FA" w:rsidRDefault="002026FA" w:rsidP="006D6C0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6985" w:type="dxa"/>
          </w:tcPr>
          <w:p w:rsidR="002026FA" w:rsidRDefault="002026FA" w:rsidP="006D6C0F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реализации Комплексного плана действий по гарм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0523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низации межэтнических отношений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</w:tcPr>
          <w:p w:rsidR="002026FA" w:rsidRDefault="002026FA" w:rsidP="00D47D5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4962" w:type="dxa"/>
          </w:tcPr>
          <w:p w:rsidR="002026FA" w:rsidRDefault="002026FA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 по делам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ренных малочисленных народов, </w:t>
            </w:r>
          </w:p>
          <w:p w:rsidR="002026FA" w:rsidRDefault="002026FA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пресс-секретарь Главы городского округа Анадырь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523E1" w:rsidTr="00002D66">
        <w:tc>
          <w:tcPr>
            <w:tcW w:w="636" w:type="dxa"/>
          </w:tcPr>
          <w:p w:rsidR="000523E1" w:rsidRDefault="000523E1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85" w:type="dxa"/>
          </w:tcPr>
          <w:p w:rsidR="000523E1" w:rsidRDefault="000523E1" w:rsidP="00F9298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ие 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официальных сайтах Администрации городского округа Анадырь о провед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нии праздничных мероприятий, приуроченных к памя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ным датам в истории народов России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9" w:type="dxa"/>
          </w:tcPr>
          <w:p w:rsidR="000523E1" w:rsidRDefault="000523E1" w:rsidP="00D47D5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2018-2025 годы</w:t>
            </w:r>
          </w:p>
        </w:tc>
        <w:tc>
          <w:tcPr>
            <w:tcW w:w="4962" w:type="dxa"/>
          </w:tcPr>
          <w:p w:rsidR="000523E1" w:rsidRDefault="000523E1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 по делам 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ренных малочисленных народов, </w:t>
            </w:r>
          </w:p>
          <w:p w:rsidR="000523E1" w:rsidRDefault="000523E1" w:rsidP="00D47D5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пресс-секретарь Главы городского округа Анадырь</w:t>
            </w:r>
            <w:r w:rsidR="00F929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B1EA2" w:rsidSect="002C2A5A">
      <w:pgSz w:w="16838" w:h="11906" w:orient="landscape"/>
      <w:pgMar w:top="1134" w:right="567" w:bottom="1134" w:left="1134" w:header="709" w:footer="709" w:gutter="0"/>
      <w:pgNumType w:start="3" w:chapStyle="3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67" w:rsidRDefault="007E4067">
      <w:r>
        <w:separator/>
      </w:r>
    </w:p>
  </w:endnote>
  <w:endnote w:type="continuationSeparator" w:id="0">
    <w:p w:rsidR="007E4067" w:rsidRDefault="007E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67" w:rsidRDefault="007E4067">
      <w:r>
        <w:separator/>
      </w:r>
    </w:p>
  </w:footnote>
  <w:footnote w:type="continuationSeparator" w:id="0">
    <w:p w:rsidR="007E4067" w:rsidRDefault="007E4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2D66"/>
    <w:rsid w:val="000045E9"/>
    <w:rsid w:val="0001037B"/>
    <w:rsid w:val="00041566"/>
    <w:rsid w:val="000523E1"/>
    <w:rsid w:val="0005728E"/>
    <w:rsid w:val="0007044A"/>
    <w:rsid w:val="000710E8"/>
    <w:rsid w:val="000954D9"/>
    <w:rsid w:val="000A09FB"/>
    <w:rsid w:val="000B4091"/>
    <w:rsid w:val="000D6D8C"/>
    <w:rsid w:val="000E1C87"/>
    <w:rsid w:val="000F5CE1"/>
    <w:rsid w:val="001205D8"/>
    <w:rsid w:val="00122771"/>
    <w:rsid w:val="0012326F"/>
    <w:rsid w:val="001367AA"/>
    <w:rsid w:val="00144B6D"/>
    <w:rsid w:val="001700BD"/>
    <w:rsid w:val="0017653D"/>
    <w:rsid w:val="001F5D6D"/>
    <w:rsid w:val="002002DA"/>
    <w:rsid w:val="002026FA"/>
    <w:rsid w:val="00207350"/>
    <w:rsid w:val="00225C1C"/>
    <w:rsid w:val="002262E3"/>
    <w:rsid w:val="00237102"/>
    <w:rsid w:val="00256A90"/>
    <w:rsid w:val="002A000A"/>
    <w:rsid w:val="002A56F4"/>
    <w:rsid w:val="002B292D"/>
    <w:rsid w:val="002C2727"/>
    <w:rsid w:val="002C2A5A"/>
    <w:rsid w:val="00302D7E"/>
    <w:rsid w:val="00317FDF"/>
    <w:rsid w:val="003253E6"/>
    <w:rsid w:val="0036109A"/>
    <w:rsid w:val="003825E9"/>
    <w:rsid w:val="00382C5C"/>
    <w:rsid w:val="003A11C4"/>
    <w:rsid w:val="003A1FC3"/>
    <w:rsid w:val="003A6F8C"/>
    <w:rsid w:val="003B119F"/>
    <w:rsid w:val="004124DC"/>
    <w:rsid w:val="00415D95"/>
    <w:rsid w:val="00461C43"/>
    <w:rsid w:val="00470547"/>
    <w:rsid w:val="0049793A"/>
    <w:rsid w:val="004A2F41"/>
    <w:rsid w:val="004A3A3A"/>
    <w:rsid w:val="004C4A8A"/>
    <w:rsid w:val="00500489"/>
    <w:rsid w:val="00523AD1"/>
    <w:rsid w:val="00556E85"/>
    <w:rsid w:val="00566B77"/>
    <w:rsid w:val="00570857"/>
    <w:rsid w:val="00573EF7"/>
    <w:rsid w:val="00593989"/>
    <w:rsid w:val="005979FB"/>
    <w:rsid w:val="005B1AEE"/>
    <w:rsid w:val="005F71CB"/>
    <w:rsid w:val="00630B27"/>
    <w:rsid w:val="00633ADA"/>
    <w:rsid w:val="00644D61"/>
    <w:rsid w:val="00656310"/>
    <w:rsid w:val="006625D5"/>
    <w:rsid w:val="0066420C"/>
    <w:rsid w:val="0068494C"/>
    <w:rsid w:val="006A3637"/>
    <w:rsid w:val="006B1598"/>
    <w:rsid w:val="006D03D8"/>
    <w:rsid w:val="006D6C0F"/>
    <w:rsid w:val="007303E1"/>
    <w:rsid w:val="00740B5D"/>
    <w:rsid w:val="007422DD"/>
    <w:rsid w:val="007470DE"/>
    <w:rsid w:val="007502F3"/>
    <w:rsid w:val="0076494E"/>
    <w:rsid w:val="007662C4"/>
    <w:rsid w:val="00777394"/>
    <w:rsid w:val="007845A1"/>
    <w:rsid w:val="0078770E"/>
    <w:rsid w:val="007A1CA8"/>
    <w:rsid w:val="007D1EF5"/>
    <w:rsid w:val="007E4067"/>
    <w:rsid w:val="007F11A4"/>
    <w:rsid w:val="00813DAA"/>
    <w:rsid w:val="00822513"/>
    <w:rsid w:val="00834997"/>
    <w:rsid w:val="0084728B"/>
    <w:rsid w:val="008506EF"/>
    <w:rsid w:val="00853C0A"/>
    <w:rsid w:val="00873A87"/>
    <w:rsid w:val="0088326D"/>
    <w:rsid w:val="008B441B"/>
    <w:rsid w:val="008C6D35"/>
    <w:rsid w:val="008D25A2"/>
    <w:rsid w:val="008F55B6"/>
    <w:rsid w:val="008F5F74"/>
    <w:rsid w:val="009020F9"/>
    <w:rsid w:val="00917BC5"/>
    <w:rsid w:val="00925647"/>
    <w:rsid w:val="0093162E"/>
    <w:rsid w:val="00947B01"/>
    <w:rsid w:val="00971D34"/>
    <w:rsid w:val="00987CA6"/>
    <w:rsid w:val="00A34043"/>
    <w:rsid w:val="00A65FB2"/>
    <w:rsid w:val="00A837C5"/>
    <w:rsid w:val="00AC2DDD"/>
    <w:rsid w:val="00B17035"/>
    <w:rsid w:val="00B46F70"/>
    <w:rsid w:val="00B470B6"/>
    <w:rsid w:val="00B63311"/>
    <w:rsid w:val="00B701D4"/>
    <w:rsid w:val="00BB3F09"/>
    <w:rsid w:val="00BB796E"/>
    <w:rsid w:val="00C30029"/>
    <w:rsid w:val="00C300E6"/>
    <w:rsid w:val="00C323A9"/>
    <w:rsid w:val="00C41F01"/>
    <w:rsid w:val="00C57EC5"/>
    <w:rsid w:val="00CB2B1F"/>
    <w:rsid w:val="00CF6355"/>
    <w:rsid w:val="00D13533"/>
    <w:rsid w:val="00D5192A"/>
    <w:rsid w:val="00D67166"/>
    <w:rsid w:val="00D77796"/>
    <w:rsid w:val="00D85E23"/>
    <w:rsid w:val="00D94B5A"/>
    <w:rsid w:val="00D9551E"/>
    <w:rsid w:val="00D97C50"/>
    <w:rsid w:val="00DB1EA2"/>
    <w:rsid w:val="00DE6E47"/>
    <w:rsid w:val="00E23F36"/>
    <w:rsid w:val="00E47CBA"/>
    <w:rsid w:val="00E534DA"/>
    <w:rsid w:val="00E80F3A"/>
    <w:rsid w:val="00E97EE2"/>
    <w:rsid w:val="00EA38C7"/>
    <w:rsid w:val="00EA7683"/>
    <w:rsid w:val="00EB7C8B"/>
    <w:rsid w:val="00ED1AFC"/>
    <w:rsid w:val="00EE7F2F"/>
    <w:rsid w:val="00F14EA8"/>
    <w:rsid w:val="00F30E16"/>
    <w:rsid w:val="00F4733A"/>
    <w:rsid w:val="00F77917"/>
    <w:rsid w:val="00F85294"/>
    <w:rsid w:val="00F92987"/>
    <w:rsid w:val="00FB76A7"/>
    <w:rsid w:val="00FE17A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F5D6D"/>
    <w:rPr>
      <w:color w:val="0563C1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3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F5D6D"/>
    <w:rPr>
      <w:color w:val="0563C1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23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OVOMARI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145E-17B4-4407-9F8A-B4F06D4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Куркина</dc:creator>
  <cp:lastModifiedBy>Наталья Я. Кымыет</cp:lastModifiedBy>
  <cp:revision>129</cp:revision>
  <cp:lastPrinted>2018-02-06T23:11:00Z</cp:lastPrinted>
  <dcterms:created xsi:type="dcterms:W3CDTF">2018-01-26T04:12:00Z</dcterms:created>
  <dcterms:modified xsi:type="dcterms:W3CDTF">2018-02-14T05:01:00Z</dcterms:modified>
</cp:coreProperties>
</file>